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LEVANTAMIENTO DE SUELOS EN LA FINCA SANTA ELENA DEL MUNICIPIO DE DOLORES TOLIMA BAJO UN ENFOQUE ETNOEDAFOLÓGICO.</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Elaborado por: Andrés Felipe Alcalá Zapata</w:t>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Estudiante de Ingeniería Agronómica</w:t>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Entregado al productor: Hugo Hernández</w:t>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Asociación Café Frutos del Bosque Dolores Tolima</w:t>
      </w:r>
    </w:p>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w:t>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ÍNDICE</w:t>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GLOSARIO</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INTRODUCCIÓN</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METODOLOGÍA.</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RESULTADOS</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CONCLUSIÓN</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REFERENCIAS BIBLIOGRÁFICAS</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pStyle w:val="Heading1"/>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GLOSARIO</w:t>
      </w: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Agregados: </w:t>
      </w:r>
      <w:r w:rsidDel="00000000" w:rsidR="00000000" w:rsidRPr="00000000">
        <w:rPr>
          <w:rFonts w:ascii="Times New Roman" w:cs="Times New Roman" w:eastAsia="Times New Roman" w:hAnsi="Times New Roman"/>
          <w:sz w:val="24"/>
          <w:szCs w:val="24"/>
          <w:rtl w:val="0"/>
        </w:rPr>
        <w:t xml:space="preserve">se refieren a partículas de arena, limo, arcilla y además de materia orgánica que se agrupan formando estructuras grandes o pequeñas 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Coloides: </w:t>
      </w:r>
      <w:r w:rsidDel="00000000" w:rsidR="00000000" w:rsidRPr="00000000">
        <w:rPr>
          <w:rFonts w:ascii="Times New Roman" w:cs="Times New Roman" w:eastAsia="Times New Roman" w:hAnsi="Times New Roman"/>
          <w:sz w:val="24"/>
          <w:szCs w:val="24"/>
          <w:rtl w:val="0"/>
        </w:rPr>
        <w:t xml:space="preserve">Son partículas pequeñas de 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Drenaje externo: </w:t>
      </w:r>
      <w:r w:rsidDel="00000000" w:rsidR="00000000" w:rsidRPr="00000000">
        <w:rPr>
          <w:rFonts w:ascii="Times New Roman" w:cs="Times New Roman" w:eastAsia="Times New Roman" w:hAnsi="Times New Roman"/>
          <w:sz w:val="24"/>
          <w:szCs w:val="24"/>
          <w:rtl w:val="0"/>
        </w:rPr>
        <w:t xml:space="preserve">Esta relacionado con el movimiento del agua sobre la superficie del suelo, de la capacidad que puede tener un terreno para eliminar el exceso de agua que se acumula en su superficie y depende en gran medida de la pendiente del terreno y la infiltración del agua en el horizonte superficial. El manejo eficiente del drenaje externo es crucial para garantizar un entorno favorable para el crecimiento de los cultivos y minimizar los problemas de erosión y degradación del suelo.</w:t>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Drenaje interno: </w:t>
      </w:r>
      <w:r w:rsidDel="00000000" w:rsidR="00000000" w:rsidRPr="00000000">
        <w:rPr>
          <w:rFonts w:ascii="Times New Roman" w:cs="Times New Roman" w:eastAsia="Times New Roman" w:hAnsi="Times New Roman"/>
          <w:sz w:val="24"/>
          <w:szCs w:val="24"/>
          <w:rtl w:val="0"/>
        </w:rPr>
        <w:t xml:space="preserve">Se refiere a la capacidad natural del suelo para permitir que el agua tenga movimiento dentro de sus capas internas, impidiendo que se genere saturación o condiciones de humedad alta que limite un óptimo crecimiento de las raíces del cultivo. Depende en gran medida de la textura del suelo, la porosidad, la estructura y presencia de fragmentos en el perfil.</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Drenaje natural: </w:t>
      </w:r>
      <w:r w:rsidDel="00000000" w:rsidR="00000000" w:rsidRPr="00000000">
        <w:rPr>
          <w:rFonts w:ascii="Times New Roman" w:cs="Times New Roman" w:eastAsia="Times New Roman" w:hAnsi="Times New Roman"/>
          <w:sz w:val="24"/>
          <w:szCs w:val="24"/>
          <w:rtl w:val="0"/>
        </w:rPr>
        <w:t xml:space="preserve">Corresponde al proceso natural por el cual el agua se desplaza a través de las capas del suelo, regulando su contenido de humedad y evitando la acumulación excesiva de agua en la superficie. A las huellas o marcas (colores grises, azules o verdosos producto de la reducción del hierro) que deja en el perfil del suelo la saturación continua o temporal de agua, entonces, está condicionado por la profundidad que aparecen los moteados grises en el perfil del suelo, desde uno mal drenado a uno con buenas condiciones de drenaje.</w:t>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Iluviación: </w:t>
      </w:r>
      <w:r w:rsidDel="00000000" w:rsidR="00000000" w:rsidRPr="00000000">
        <w:rPr>
          <w:rFonts w:ascii="Times New Roman" w:cs="Times New Roman" w:eastAsia="Times New Roman" w:hAnsi="Times New Roman"/>
          <w:sz w:val="24"/>
          <w:szCs w:val="24"/>
          <w:rtl w:val="0"/>
        </w:rPr>
        <w:t xml:space="preserve">Es un proceso que implica en la acumulación de materiales disueltos o suspendidos desde capas superiores del suelo hacia capas más profundas. Esto ocurre principalmente debido a la infiltración del agua de lluvia o riego a través del suelo, llevando consigo nutrientes, minerales y partículas orgánicas a capas subyacentes.</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Lixiviación: </w:t>
      </w:r>
      <w:r w:rsidDel="00000000" w:rsidR="00000000" w:rsidRPr="00000000">
        <w:rPr>
          <w:rFonts w:ascii="Times New Roman" w:cs="Times New Roman" w:eastAsia="Times New Roman" w:hAnsi="Times New Roman"/>
          <w:sz w:val="24"/>
          <w:szCs w:val="24"/>
          <w:rtl w:val="0"/>
        </w:rPr>
        <w:t xml:space="preserve">Es un proceso de pérdida el cual, los nutrientes, minerales y materia orgánica presentes en el suelo son disueltos y arrastrados por el agua que se infiltra a través de él. Este proceso es influenciado por factores como la cantidad y frecuencia de las lluvias, la composición del suelo y la vegetación circundante.</w:t>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Profundidad efectiva: </w:t>
      </w:r>
      <w:r w:rsidDel="00000000" w:rsidR="00000000" w:rsidRPr="00000000">
        <w:rPr>
          <w:rFonts w:ascii="Times New Roman" w:cs="Times New Roman" w:eastAsia="Times New Roman" w:hAnsi="Times New Roman"/>
          <w:sz w:val="24"/>
          <w:szCs w:val="24"/>
          <w:rtl w:val="0"/>
        </w:rPr>
        <w:t xml:space="preserve">Es aquella capa de suelo la cual pueden extenderse las raíces de las plantas y obtener los recursos necesarios para su crecimiento, como agua, nutrientes y oxígeno, sin encontrar obstáculos o limitantes. Estas limitantes dependen del tipo de suelo y especies de plantas presentes en el lugar.</w:t>
      </w:r>
    </w:p>
    <w:p w:rsidR="00000000" w:rsidDel="00000000" w:rsidP="00000000" w:rsidRDefault="00000000" w:rsidRPr="00000000" w14:paraId="0000004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Diferencia entre un estudio de suelos y un análisis de suelos: </w:t>
      </w:r>
      <w:r w:rsidDel="00000000" w:rsidR="00000000" w:rsidRPr="00000000">
        <w:rPr>
          <w:rFonts w:ascii="Times New Roman" w:cs="Times New Roman" w:eastAsia="Times New Roman" w:hAnsi="Times New Roman"/>
          <w:sz w:val="24"/>
          <w:szCs w:val="24"/>
          <w:rtl w:val="0"/>
        </w:rPr>
        <w:t xml:space="preserve">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Style w:val="Heading1"/>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INTRODUCCIÓN</w:t>
      </w:r>
    </w:p>
    <w:p w:rsidR="00000000" w:rsidDel="00000000" w:rsidP="00000000" w:rsidRDefault="00000000" w:rsidRPr="00000000" w14:paraId="00000054">
      <w:pPr>
        <w:spacing w:after="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rsidR="00000000" w:rsidDel="00000000" w:rsidP="00000000" w:rsidRDefault="00000000" w:rsidRPr="00000000" w14:paraId="00000055">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(Colombiano, S. G. 2018).</w:t>
      </w:r>
    </w:p>
    <w:p w:rsidR="00000000" w:rsidDel="00000000" w:rsidP="00000000" w:rsidRDefault="00000000" w:rsidRPr="00000000" w14:paraId="00000057">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rsidR="00000000" w:rsidDel="00000000" w:rsidP="00000000" w:rsidRDefault="00000000" w:rsidRPr="00000000" w14:paraId="00000059">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rsidR="00000000" w:rsidDel="00000000" w:rsidP="00000000" w:rsidRDefault="00000000" w:rsidRPr="00000000" w14:paraId="0000005B">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Style w:val="Heading1"/>
        <w:rPr>
          <w:rFonts w:ascii="Times New Roman" w:cs="Times New Roman" w:eastAsia="Times New Roman" w:hAnsi="Times New Roman"/>
          <w:sz w:val="24"/>
          <w:szCs w:val="24"/>
        </w:rPr>
      </w:pPr>
      <w:bookmarkStart w:colFirst="0" w:colLast="0" w:name="_heading=h.1fob9te" w:id="2"/>
      <w:bookmarkEnd w:id="2"/>
      <w:r w:rsidDel="00000000" w:rsidR="00000000" w:rsidRPr="00000000">
        <w:rPr>
          <w:rFonts w:ascii="Times New Roman" w:cs="Times New Roman" w:eastAsia="Times New Roman" w:hAnsi="Times New Roman"/>
          <w:sz w:val="24"/>
          <w:szCs w:val="24"/>
          <w:rtl w:val="0"/>
        </w:rPr>
        <w:t xml:space="preserve">METODOLOGÍA.</w:t>
      </w:r>
    </w:p>
    <w:p w:rsidR="00000000" w:rsidDel="00000000" w:rsidP="00000000" w:rsidRDefault="00000000" w:rsidRPr="00000000" w14:paraId="0000006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proceso de investigación, se implementó una metodología integral para el estudio de suelos en la finca. A continuación, en la figura 1 se explica gráficamente como se desarrolló paso a paso el estudio de suelo de la finca empezando con la realización de la cartografía social y terminando con la obtención de los perfiles de suelo y por supuesto la realización de este informe.</w:t>
      </w:r>
    </w:p>
    <w:p w:rsidR="00000000" w:rsidDel="00000000" w:rsidP="00000000" w:rsidRDefault="00000000" w:rsidRPr="00000000" w14:paraId="000000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01067" cy="5401067"/>
            <wp:effectExtent b="0" l="0" r="0" t="0"/>
            <wp:docPr id="214090320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401067" cy="540106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1: </w:t>
      </w:r>
      <w:r w:rsidDel="00000000" w:rsidR="00000000" w:rsidRPr="00000000">
        <w:rPr>
          <w:rFonts w:ascii="Times New Roman" w:cs="Times New Roman" w:eastAsia="Times New Roman" w:hAnsi="Times New Roman"/>
          <w:sz w:val="20"/>
          <w:szCs w:val="20"/>
          <w:rtl w:val="0"/>
        </w:rPr>
        <w:t xml:space="preserve">Paso a paso de cómo fue la metodología del trabajo practico realizado.</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6">
      <w:pPr>
        <w:pStyle w:val="Heading1"/>
        <w:rPr>
          <w:rFonts w:ascii="Times New Roman" w:cs="Times New Roman" w:eastAsia="Times New Roman" w:hAnsi="Times New Roman"/>
          <w:sz w:val="24"/>
          <w:szCs w:val="24"/>
        </w:rPr>
      </w:pPr>
      <w:bookmarkStart w:colFirst="0" w:colLast="0" w:name="_heading=h.3znysh7" w:id="3"/>
      <w:bookmarkEnd w:id="3"/>
      <w:r w:rsidDel="00000000" w:rsidR="00000000" w:rsidRPr="00000000">
        <w:rPr>
          <w:rFonts w:ascii="Times New Roman" w:cs="Times New Roman" w:eastAsia="Times New Roman" w:hAnsi="Times New Roman"/>
          <w:sz w:val="24"/>
          <w:szCs w:val="24"/>
          <w:rtl w:val="0"/>
        </w:rPr>
        <w:t xml:space="preserve">RESULTADOS</w:t>
      </w:r>
    </w:p>
    <w:p w:rsidR="00000000" w:rsidDel="00000000" w:rsidP="00000000" w:rsidRDefault="00000000" w:rsidRPr="00000000" w14:paraId="0000006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finca Santa Elena se encuentra en la parte alta de la vereda San Andrés, ubicada en el municipio de Dolores, Tolima, a una altitud de aproximadamente 1700 metros sobre el nivel del mar. Sus coordenadas son N 3° 34' 59" W 74° 48' 57". Este terreno presenta un relieve caracterizado por montañas casi planas y cuenta con áreas de bosques protegidos. La mayor parte de los lotes se destinan al pastoreo de ganado, mientras que una menor parte se dedica al cultivo de café.</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relevante destacar que, mediante la colaboración en la elaboración de la cartografía social y aprovechando el conocimiento especializado del productor sobre sus suelos, se ha logrado identificar las características generales de la finca Santa Elena. En líneas generales, estos suelos se caracterizan por su acidez, evidenciada por la presencia de helechos, así como por su marcada pedregosidad superficial y pendientes moderadas (como se observa en la figura 2). Además, durante la temporada seca, se aprecian grietas en la superficie del suelo formadas por arcillas expandibles.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1397000</wp:posOffset>
                </wp:positionV>
                <wp:extent cx="3393440" cy="361950"/>
                <wp:effectExtent b="0" l="0" r="0" t="0"/>
                <wp:wrapNone/>
                <wp:docPr id="2140903207" name=""/>
                <a:graphic>
                  <a:graphicData uri="http://schemas.microsoft.com/office/word/2010/wordprocessingGroup">
                    <wpg:wgp>
                      <wpg:cNvGrpSpPr/>
                      <wpg:grpSpPr>
                        <a:xfrm>
                          <a:off x="3649275" y="3599025"/>
                          <a:ext cx="3393440" cy="361950"/>
                          <a:chOff x="3649275" y="3599025"/>
                          <a:chExt cx="3393450" cy="361950"/>
                        </a:xfrm>
                      </wpg:grpSpPr>
                      <wpg:grpSp>
                        <wpg:cNvGrpSpPr/>
                        <wpg:grpSpPr>
                          <a:xfrm>
                            <a:off x="3649280" y="3599025"/>
                            <a:ext cx="3393440" cy="361950"/>
                            <a:chOff x="0" y="0"/>
                            <a:chExt cx="3393714" cy="361950"/>
                          </a:xfrm>
                        </wpg:grpSpPr>
                        <wps:wsp>
                          <wps:cNvSpPr/>
                          <wps:cNvPr id="3" name="Shape 3"/>
                          <wps:spPr>
                            <a:xfrm>
                              <a:off x="0" y="0"/>
                              <a:ext cx="3393700" cy="36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flipH="1">
                              <a:off x="0" y="0"/>
                              <a:ext cx="342900" cy="3619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a</w:t>
                                </w:r>
                              </w:p>
                            </w:txbxContent>
                          </wps:txbx>
                          <wps:bodyPr anchorCtr="0" anchor="t" bIns="45700" lIns="91425" spcFirstLastPara="1" rIns="91425" wrap="square" tIns="45700">
                            <a:noAutofit/>
                          </wps:bodyPr>
                        </wps:wsp>
                        <wps:wsp>
                          <wps:cNvSpPr/>
                          <wps:cNvPr id="5" name="Shape 5"/>
                          <wps:spPr>
                            <a:xfrm flipH="1">
                              <a:off x="1485900" y="0"/>
                              <a:ext cx="342900" cy="3619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w:t>
                                </w:r>
                              </w:p>
                            </w:txbxContent>
                          </wps:txbx>
                          <wps:bodyPr anchorCtr="0" anchor="t" bIns="45700" lIns="91425" spcFirstLastPara="1" rIns="91425" wrap="square" tIns="45700">
                            <a:noAutofit/>
                          </wps:bodyPr>
                        </wps:wsp>
                        <wps:wsp>
                          <wps:cNvSpPr/>
                          <wps:cNvPr id="6" name="Shape 6"/>
                          <wps:spPr>
                            <a:xfrm flipH="1">
                              <a:off x="3050814" y="0"/>
                              <a:ext cx="342900" cy="3619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c</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1397000</wp:posOffset>
                </wp:positionV>
                <wp:extent cx="3393440" cy="361950"/>
                <wp:effectExtent b="0" l="0" r="0" t="0"/>
                <wp:wrapNone/>
                <wp:docPr id="2140903207"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3393440" cy="361950"/>
                        </a:xfrm>
                        <a:prstGeom prst="rect"/>
                        <a:ln/>
                      </pic:spPr>
                    </pic:pic>
                  </a:graphicData>
                </a:graphic>
              </wp:anchor>
            </w:drawing>
          </mc:Fallback>
        </mc:AlternateContent>
      </w:r>
    </w:p>
    <w:p w:rsidR="00000000" w:rsidDel="00000000" w:rsidP="00000000" w:rsidRDefault="00000000" w:rsidRPr="00000000" w14:paraId="0000006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114925" cy="2468245"/>
                <wp:effectExtent b="0" l="0" r="0" t="0"/>
                <wp:docPr id="2140903208" name=""/>
                <a:graphic>
                  <a:graphicData uri="http://schemas.microsoft.com/office/word/2010/wordprocessingGroup">
                    <wpg:wgp>
                      <wpg:cNvGrpSpPr/>
                      <wpg:grpSpPr>
                        <a:xfrm>
                          <a:off x="2769475" y="2526825"/>
                          <a:ext cx="5114925" cy="2468245"/>
                          <a:chOff x="2769475" y="2526825"/>
                          <a:chExt cx="5153050" cy="2506350"/>
                        </a:xfrm>
                      </wpg:grpSpPr>
                      <wpg:grpSp>
                        <wpg:cNvGrpSpPr/>
                        <wpg:grpSpPr>
                          <a:xfrm>
                            <a:off x="2788538" y="2545878"/>
                            <a:ext cx="5114926" cy="2468245"/>
                            <a:chOff x="-1" y="0"/>
                            <a:chExt cx="6302058" cy="3202623"/>
                          </a:xfrm>
                        </wpg:grpSpPr>
                        <wps:wsp>
                          <wps:cNvSpPr/>
                          <wps:cNvPr id="3" name="Shape 3"/>
                          <wps:spPr>
                            <a:xfrm>
                              <a:off x="0" y="0"/>
                              <a:ext cx="6302050" cy="320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9">
                              <a:alphaModFix/>
                            </a:blip>
                            <a:srcRect b="0" l="0" r="0" t="0"/>
                            <a:stretch/>
                          </pic:blipFill>
                          <pic:spPr>
                            <a:xfrm rot="5400000">
                              <a:off x="3430905" y="331469"/>
                              <a:ext cx="3200400" cy="2541905"/>
                            </a:xfrm>
                            <a:prstGeom prst="rect">
                              <a:avLst/>
                            </a:prstGeom>
                            <a:noFill/>
                            <a:ln cap="flat" cmpd="sng" w="19050">
                              <a:solidFill>
                                <a:srgbClr val="000000"/>
                              </a:solidFill>
                              <a:prstDash val="solid"/>
                              <a:round/>
                              <a:headEnd len="sm" w="sm" type="none"/>
                              <a:tailEnd len="sm" w="sm" type="none"/>
                            </a:ln>
                          </pic:spPr>
                        </pic:pic>
                        <pic:pic>
                          <pic:nvPicPr>
                            <pic:cNvPr id="9" name="Shape 9"/>
                            <pic:cNvPicPr preferRelativeResize="0"/>
                          </pic:nvPicPr>
                          <pic:blipFill rotWithShape="1">
                            <a:blip r:embed="rId10">
                              <a:alphaModFix/>
                            </a:blip>
                            <a:srcRect b="0" l="0" r="0" t="0"/>
                            <a:stretch/>
                          </pic:blipFill>
                          <pic:spPr>
                            <a:xfrm rot="5400000">
                              <a:off x="1178242" y="621983"/>
                              <a:ext cx="3200400" cy="1960880"/>
                            </a:xfrm>
                            <a:prstGeom prst="rect">
                              <a:avLst/>
                            </a:prstGeom>
                            <a:noFill/>
                            <a:ln cap="flat" cmpd="sng" w="19050">
                              <a:solidFill>
                                <a:srgbClr val="000000"/>
                              </a:solidFill>
                              <a:prstDash val="solid"/>
                              <a:round/>
                              <a:headEnd len="sm" w="sm" type="none"/>
                              <a:tailEnd len="sm" w="sm" type="none"/>
                            </a:ln>
                          </pic:spPr>
                        </pic:pic>
                        <pic:pic>
                          <pic:nvPicPr>
                            <pic:cNvPr id="10" name="Shape 10"/>
                            <pic:cNvPicPr preferRelativeResize="0"/>
                          </pic:nvPicPr>
                          <pic:blipFill rotWithShape="1">
                            <a:blip r:embed="rId11">
                              <a:alphaModFix/>
                            </a:blip>
                            <a:srcRect b="0" l="0" r="0" t="0"/>
                            <a:stretch/>
                          </pic:blipFill>
                          <pic:spPr>
                            <a:xfrm rot="5400000">
                              <a:off x="-698183" y="698183"/>
                              <a:ext cx="3192145" cy="1795780"/>
                            </a:xfrm>
                            <a:prstGeom prst="rect">
                              <a:avLst/>
                            </a:prstGeom>
                            <a:noFill/>
                            <a:ln cap="flat" cmpd="sng" w="19050">
                              <a:solidFill>
                                <a:srgbClr val="000000"/>
                              </a:solidFill>
                              <a:prstDash val="solid"/>
                              <a:round/>
                              <a:headEnd len="sm" w="sm" type="none"/>
                              <a:tailEnd len="sm" w="sm" type="none"/>
                            </a:ln>
                          </pic:spPr>
                        </pic:pic>
                      </wpg:grpSp>
                    </wpg:wgp>
                  </a:graphicData>
                </a:graphic>
              </wp:inline>
            </w:drawing>
          </mc:Choice>
          <mc:Fallback>
            <w:drawing>
              <wp:inline distB="0" distT="0" distL="0" distR="0">
                <wp:extent cx="5114925" cy="2468245"/>
                <wp:effectExtent b="0" l="0" r="0" t="0"/>
                <wp:docPr id="2140903208"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5114925" cy="24682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Figura 2</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Parte del lote que se observa la presencia de plantas de helecho que influye en un PH ácido. </w:t>
      </w: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sz w:val="20"/>
          <w:szCs w:val="20"/>
          <w:rtl w:val="0"/>
        </w:rPr>
        <w:t xml:space="preserve"> Se observa el grado de inclinación que presenta el lote. </w:t>
      </w:r>
      <w:r w:rsidDel="00000000" w:rsidR="00000000" w:rsidRPr="00000000">
        <w:rPr>
          <w:rFonts w:ascii="Times New Roman" w:cs="Times New Roman" w:eastAsia="Times New Roman" w:hAnsi="Times New Roman"/>
          <w:b w:val="1"/>
          <w:sz w:val="20"/>
          <w:szCs w:val="20"/>
          <w:rtl w:val="0"/>
        </w:rPr>
        <w:t xml:space="preserve">c.</w:t>
      </w:r>
      <w:r w:rsidDel="00000000" w:rsidR="00000000" w:rsidRPr="00000000">
        <w:rPr>
          <w:rFonts w:ascii="Times New Roman" w:cs="Times New Roman" w:eastAsia="Times New Roman" w:hAnsi="Times New Roman"/>
          <w:sz w:val="20"/>
          <w:szCs w:val="20"/>
          <w:rtl w:val="0"/>
        </w:rPr>
        <w:t xml:space="preserve"> Se observa el porcentaje de pedregosidad superficial que se encuentra en lote.</w:t>
      </w: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marco de este contexto, el productor decidió realizar el estudio de suelos en dos lotes específicos destinados al cultivo de café. Estos lotes tienen dimensiones de aproximadamente 1,6 hectáreas y 0,7 hectáreas. En la Figura 3 se ilustra el recorrido desde el casco urbano de la Vereda San Andrés hasta llegar a la finca Santa Elena.</w:t>
      </w:r>
    </w:p>
    <w:p w:rsidR="00000000" w:rsidDel="00000000" w:rsidP="00000000" w:rsidRDefault="00000000" w:rsidRPr="00000000" w14:paraId="0000006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04112" cy="2304000"/>
            <wp:effectExtent b="0" l="0" r="0" t="0"/>
            <wp:docPr id="214090321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304112" cy="2304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3.</w:t>
      </w:r>
      <w:r w:rsidDel="00000000" w:rsidR="00000000" w:rsidRPr="00000000">
        <w:rPr>
          <w:rFonts w:ascii="Times New Roman" w:cs="Times New Roman" w:eastAsia="Times New Roman" w:hAnsi="Times New Roman"/>
          <w:sz w:val="20"/>
          <w:szCs w:val="20"/>
          <w:rtl w:val="0"/>
        </w:rPr>
        <w:t xml:space="preserve"> Recorrido desde la zona Urbana hasta la finca Santa Elena con coordenadas N 3° 34’ 59” W 74° 48’ 57”</w:t>
      </w:r>
    </w:p>
    <w:p w:rsidR="00000000" w:rsidDel="00000000" w:rsidP="00000000" w:rsidRDefault="00000000" w:rsidRPr="00000000" w14:paraId="0000006E">
      <w:pP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momento de realizar el croquis de la finca Santa Elena (figura 4) en el contexto de la cartografía social, el productor destacó las características particulares del suelo. Hizo hincapié en que los suelos eran de textura franco-arenosa, presentaban un tono café distintivo y mostraban una superficie con presencia de pedregosidad. Estos atributos eran valorados por el productor debido a la experiencia acumulada durante su extenso periodo de trabajo en los suelos de dicha finca.</w:t>
      </w:r>
    </w:p>
    <w:p w:rsidR="00000000" w:rsidDel="00000000" w:rsidP="00000000" w:rsidRDefault="00000000" w:rsidRPr="00000000" w14:paraId="0000007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76525" cy="3646170"/>
            <wp:effectExtent b="28575" l="28575" r="28575" t="28575"/>
            <wp:docPr descr="Mapa&#10;&#10;Descripción generada automáticamente" id="2140903210" name="image11.jpg"/>
            <a:graphic>
              <a:graphicData uri="http://schemas.openxmlformats.org/drawingml/2006/picture">
                <pic:pic>
                  <pic:nvPicPr>
                    <pic:cNvPr descr="Mapa&#10;&#10;Descripción generada automáticamente" id="0" name="image11.jpg"/>
                    <pic:cNvPicPr preferRelativeResize="0"/>
                  </pic:nvPicPr>
                  <pic:blipFill>
                    <a:blip r:embed="rId14"/>
                    <a:srcRect b="0" l="0" r="0" t="0"/>
                    <a:stretch>
                      <a:fillRect/>
                    </a:stretch>
                  </pic:blipFill>
                  <pic:spPr>
                    <a:xfrm>
                      <a:off x="0" y="0"/>
                      <a:ext cx="2676525" cy="3646170"/>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4: </w:t>
      </w:r>
      <w:r w:rsidDel="00000000" w:rsidR="00000000" w:rsidRPr="00000000">
        <w:rPr>
          <w:rFonts w:ascii="Times New Roman" w:cs="Times New Roman" w:eastAsia="Times New Roman" w:hAnsi="Times New Roman"/>
          <w:sz w:val="20"/>
          <w:szCs w:val="20"/>
          <w:rtl w:val="0"/>
        </w:rPr>
        <w:t xml:space="preserve">Mapa de cartografía social realizado por el productor.</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lotes estudiados en general se detallan perfiles con una capa oscura entre los 20cm a 50 cm que muestra acumulación de materia orgánica producto de la descomposición de la hojarasca seca, una profundidad efectiva del suelo moderadamente profunda excelente para el libre recorrido de las raíces, aunque en algunos puntos sea limitado por pedregosidad en las primeras capas, un drenaje interno y externo medio, esto por tener una textura suelta, un drenaje natural bien drenado por el porcentaje de pendiente que tienen los lotes, sin embargo, teniendo cuidado a los posibles encharcamientos. En las siguientes tablas se describen los suelos encontrados en los dos lotes en estudio teniendo en cuenta los atributos que el productor mencionó:</w:t>
      </w:r>
    </w:p>
    <w:tbl>
      <w:tblPr>
        <w:tblStyle w:val="Table1"/>
        <w:tblW w:w="9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1300"/>
        <w:gridCol w:w="1559"/>
        <w:gridCol w:w="2110"/>
        <w:gridCol w:w="2114"/>
        <w:gridCol w:w="2057"/>
        <w:tblGridChange w:id="0">
          <w:tblGrid>
            <w:gridCol w:w="1300"/>
            <w:gridCol w:w="1559"/>
            <w:gridCol w:w="2110"/>
            <w:gridCol w:w="2114"/>
            <w:gridCol w:w="2057"/>
          </w:tblGrid>
        </w:tblGridChange>
      </w:tblGrid>
      <w:tr>
        <w:trPr>
          <w:cantSplit w:val="0"/>
          <w:tblHeader w:val="0"/>
        </w:trPr>
        <w:tc>
          <w:tcPr>
            <w:shd w:fill="9cc3e5" w:val="clear"/>
          </w:tcPr>
          <w:p w:rsidR="00000000" w:rsidDel="00000000" w:rsidP="00000000" w:rsidRDefault="00000000" w:rsidRPr="00000000" w14:paraId="0000007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9cc3e5" w:val="clear"/>
          </w:tcPr>
          <w:p w:rsidR="00000000" w:rsidDel="00000000" w:rsidP="00000000" w:rsidRDefault="00000000" w:rsidRPr="00000000" w14:paraId="0000007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Ubicación</w:t>
            </w:r>
          </w:p>
        </w:tc>
        <w:tc>
          <w:tcPr>
            <w:shd w:fill="9cc3e5" w:val="clear"/>
          </w:tcPr>
          <w:p w:rsidR="00000000" w:rsidDel="00000000" w:rsidP="00000000" w:rsidRDefault="00000000" w:rsidRPr="00000000" w14:paraId="0000007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Perfil de suelo</w:t>
            </w:r>
          </w:p>
        </w:tc>
        <w:tc>
          <w:tcPr>
            <w:shd w:fill="9cc3e5" w:val="clear"/>
          </w:tcPr>
          <w:p w:rsidR="00000000" w:rsidDel="00000000" w:rsidP="00000000" w:rsidRDefault="00000000" w:rsidRPr="00000000" w14:paraId="0000007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Muestra de suelo</w:t>
            </w:r>
          </w:p>
        </w:tc>
        <w:tc>
          <w:tcPr>
            <w:shd w:fill="9cc3e5" w:val="clear"/>
          </w:tcPr>
          <w:p w:rsidR="00000000" w:rsidDel="00000000" w:rsidP="00000000" w:rsidRDefault="00000000" w:rsidRPr="00000000" w14:paraId="000000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vMerge w:val="restart"/>
            <w:shd w:fill="9cc3e5" w:val="clear"/>
          </w:tcPr>
          <w:p w:rsidR="00000000" w:rsidDel="00000000" w:rsidP="00000000" w:rsidRDefault="00000000" w:rsidRPr="00000000" w14:paraId="0000007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Franco arenoso, café</w:t>
            </w:r>
          </w:p>
        </w:tc>
        <w:tc>
          <w:tcPr/>
          <w:p w:rsidR="00000000" w:rsidDel="00000000" w:rsidP="00000000" w:rsidRDefault="00000000" w:rsidRPr="00000000" w14:paraId="000000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1</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34 57.9</w:t>
            </w:r>
          </w:p>
          <w:p w:rsidR="00000000" w:rsidDel="00000000" w:rsidP="00000000" w:rsidRDefault="00000000" w:rsidRPr="00000000" w14:paraId="0000007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W74 48 57.8</w:t>
            </w:r>
            <w:r w:rsidDel="00000000" w:rsidR="00000000" w:rsidRPr="00000000">
              <w:rPr>
                <w:rtl w:val="0"/>
              </w:rPr>
            </w:r>
          </w:p>
        </w:tc>
        <w:tc>
          <w:tcPr/>
          <w:p w:rsidR="00000000" w:rsidDel="00000000" w:rsidP="00000000" w:rsidRDefault="00000000" w:rsidRPr="00000000" w14:paraId="0000007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Pr>
              <w:drawing>
                <wp:inline distB="0" distT="0" distL="114300" distR="114300">
                  <wp:extent cx="1181358" cy="1457643"/>
                  <wp:effectExtent b="0" l="0" r="0" t="0"/>
                  <wp:docPr descr="Punto 1 L1 Hugo Hernández" id="2140903213" name="image14.jpg"/>
                  <a:graphic>
                    <a:graphicData uri="http://schemas.openxmlformats.org/drawingml/2006/picture">
                      <pic:pic>
                        <pic:nvPicPr>
                          <pic:cNvPr descr="Punto 1 L1 Hugo Hernández" id="0" name="image14.jpg"/>
                          <pic:cNvPicPr preferRelativeResize="0"/>
                        </pic:nvPicPr>
                        <pic:blipFill>
                          <a:blip r:embed="rId15"/>
                          <a:srcRect b="0" l="0" r="0" t="0"/>
                          <a:stretch>
                            <a:fillRect/>
                          </a:stretch>
                        </pic:blipFill>
                        <pic:spPr>
                          <a:xfrm>
                            <a:off x="0" y="0"/>
                            <a:ext cx="1181358" cy="1457643"/>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07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34 54.9</w:t>
            </w:r>
          </w:p>
          <w:p w:rsidR="00000000" w:rsidDel="00000000" w:rsidP="00000000" w:rsidRDefault="00000000" w:rsidRPr="00000000" w14:paraId="000000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W74 48 58.4</w:t>
            </w:r>
          </w:p>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163737" cy="1459922"/>
                  <wp:effectExtent b="0" l="0" r="0" t="0"/>
                  <wp:docPr id="214090321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163737" cy="1459922"/>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un tipo de suelo suelto con una capa oscura entre los 10 cm a los 40 cm.</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Capas inferiores con procesos de lixiviación (colores claros) y iluviación (colores amarillos o pardos) de materia orgánica, arcillas y óxidos de hierro.</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Presencia de agregados formados por las proporciones relativas de arena, limo y arcilla en el perfil.</w:t>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último horizonte es arcilloso por los procesos de acumulación de arcillas.</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Presencia de fragmentos de roca dentro del perfil en porcentajes bajos.</w:t>
            </w:r>
          </w:p>
        </w:tc>
      </w:tr>
      <w:tr>
        <w:trPr>
          <w:cantSplit w:val="0"/>
          <w:tblHeader w:val="0"/>
        </w:trPr>
        <w:tc>
          <w:tcPr>
            <w:vMerge w:val="continue"/>
            <w:shd w:fill="9cc3e5"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3</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34 56.4 W74 48 57.6</w:t>
            </w:r>
          </w:p>
        </w:tc>
        <w:tc>
          <w:tcPr/>
          <w:p w:rsidR="00000000" w:rsidDel="00000000" w:rsidP="00000000" w:rsidRDefault="00000000" w:rsidRPr="00000000" w14:paraId="0000009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180800" cy="1457739"/>
                  <wp:effectExtent b="0" l="0" r="0" t="0"/>
                  <wp:docPr id="2140903215"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1180800" cy="1457739"/>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vMerge w:val="continue"/>
            <w:shd w:fill="9cc3e5"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4</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34 55.0 W74 48 57.5</w:t>
            </w:r>
          </w:p>
        </w:tc>
        <w:tc>
          <w:tcPr/>
          <w:p w:rsidR="00000000" w:rsidDel="00000000" w:rsidP="00000000" w:rsidRDefault="00000000" w:rsidRPr="00000000" w14:paraId="0000009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180803" cy="1457742"/>
                  <wp:effectExtent b="0" l="0" r="0" t="0"/>
                  <wp:docPr id="2140903214" name="image7.jpg"/>
                  <a:graphic>
                    <a:graphicData uri="http://schemas.openxmlformats.org/drawingml/2006/picture">
                      <pic:pic>
                        <pic:nvPicPr>
                          <pic:cNvPr id="0" name="image7.jpg"/>
                          <pic:cNvPicPr preferRelativeResize="0"/>
                        </pic:nvPicPr>
                        <pic:blipFill>
                          <a:blip r:embed="rId18"/>
                          <a:srcRect b="5593" l="0" r="0" t="0"/>
                          <a:stretch>
                            <a:fillRect/>
                          </a:stretch>
                        </pic:blipFill>
                        <pic:spPr>
                          <a:xfrm>
                            <a:off x="0" y="0"/>
                            <a:ext cx="1180803" cy="1457742"/>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vMerge w:val="continue"/>
            <w:shd w:fill="9cc3e5"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5</w:t>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34 53.9 W74 48 59.1</w:t>
            </w:r>
          </w:p>
        </w:tc>
        <w:tc>
          <w:tcPr/>
          <w:p w:rsidR="00000000" w:rsidDel="00000000" w:rsidP="00000000" w:rsidRDefault="00000000" w:rsidRPr="00000000" w14:paraId="000000A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182138" cy="1459390"/>
                  <wp:effectExtent b="0" l="0" r="0" t="0"/>
                  <wp:docPr id="2140903217"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1182138" cy="1459390"/>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vMerge w:val="continue"/>
            <w:shd w:fill="9cc3e5"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6</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34 56.0 W74 48 59.4</w:t>
            </w:r>
          </w:p>
        </w:tc>
        <w:tc>
          <w:tcPr/>
          <w:p w:rsidR="00000000" w:rsidDel="00000000" w:rsidP="00000000" w:rsidRDefault="00000000" w:rsidRPr="00000000" w14:paraId="000000A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181463" cy="1458557"/>
                  <wp:effectExtent b="0" l="0" r="0" t="0"/>
                  <wp:docPr descr="Mapa&#10;&#10;Descripción generada automáticamente" id="2140903216" name="image1.jpg"/>
                  <a:graphic>
                    <a:graphicData uri="http://schemas.openxmlformats.org/drawingml/2006/picture">
                      <pic:pic>
                        <pic:nvPicPr>
                          <pic:cNvPr descr="Mapa&#10;&#10;Descripción generada automáticamente" id="0" name="image1.jpg"/>
                          <pic:cNvPicPr preferRelativeResize="0"/>
                        </pic:nvPicPr>
                        <pic:blipFill>
                          <a:blip r:embed="rId20"/>
                          <a:srcRect b="0" l="0" r="0" t="0"/>
                          <a:stretch>
                            <a:fillRect/>
                          </a:stretch>
                        </pic:blipFill>
                        <pic:spPr>
                          <a:xfrm>
                            <a:off x="0" y="0"/>
                            <a:ext cx="1181463" cy="1458557"/>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vMerge w:val="continue"/>
            <w:shd w:fill="9cc3e5"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2</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34 57.0 W74 48 57.4</w:t>
            </w:r>
          </w:p>
        </w:tc>
        <w:tc>
          <w:tcPr/>
          <w:p w:rsidR="00000000" w:rsidDel="00000000" w:rsidP="00000000" w:rsidRDefault="00000000" w:rsidRPr="00000000" w14:paraId="000000B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181913" cy="1459113"/>
                  <wp:effectExtent b="0" l="0" r="0" t="0"/>
                  <wp:docPr id="2140903220"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1181913" cy="1459113"/>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B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Tabla 1: </w:t>
      </w:r>
      <w:r w:rsidDel="00000000" w:rsidR="00000000" w:rsidRPr="00000000">
        <w:rPr>
          <w:rFonts w:ascii="Times New Roman" w:cs="Times New Roman" w:eastAsia="Times New Roman" w:hAnsi="Times New Roman"/>
          <w:sz w:val="20"/>
          <w:szCs w:val="20"/>
          <w:rtl w:val="0"/>
        </w:rPr>
        <w:t xml:space="preserve">Suelos encontrados en el lote 1 de la finca Santa Elena</w:t>
      </w: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tbl>
      <w:tblPr>
        <w:tblStyle w:val="Table2"/>
        <w:tblW w:w="920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1270"/>
        <w:gridCol w:w="1557"/>
        <w:gridCol w:w="2136"/>
        <w:gridCol w:w="2189"/>
        <w:gridCol w:w="2057"/>
        <w:tblGridChange w:id="0">
          <w:tblGrid>
            <w:gridCol w:w="1270"/>
            <w:gridCol w:w="1557"/>
            <w:gridCol w:w="2136"/>
            <w:gridCol w:w="2189"/>
            <w:gridCol w:w="2057"/>
          </w:tblGrid>
        </w:tblGridChange>
      </w:tblGrid>
      <w:tr>
        <w:trPr>
          <w:cantSplit w:val="0"/>
          <w:tblHeader w:val="0"/>
        </w:trPr>
        <w:tc>
          <w:tcPr>
            <w:shd w:fill="9cc3e5" w:val="clear"/>
          </w:tcPr>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Atributo</w:t>
            </w:r>
            <w:r w:rsidDel="00000000" w:rsidR="00000000" w:rsidRPr="00000000">
              <w:rPr>
                <w:rtl w:val="0"/>
              </w:rPr>
            </w:r>
          </w:p>
        </w:tc>
        <w:tc>
          <w:tcPr>
            <w:shd w:fill="9cc3e5" w:val="clear"/>
          </w:tcPr>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Ubicación</w:t>
            </w:r>
            <w:r w:rsidDel="00000000" w:rsidR="00000000" w:rsidRPr="00000000">
              <w:rPr>
                <w:rtl w:val="0"/>
              </w:rPr>
            </w:r>
          </w:p>
        </w:tc>
        <w:tc>
          <w:tcPr>
            <w:shd w:fill="9cc3e5" w:val="clear"/>
          </w:tcPr>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Perfil de suelo</w:t>
            </w:r>
            <w:r w:rsidDel="00000000" w:rsidR="00000000" w:rsidRPr="00000000">
              <w:rPr>
                <w:rtl w:val="0"/>
              </w:rPr>
            </w:r>
          </w:p>
        </w:tc>
        <w:tc>
          <w:tcPr>
            <w:shd w:fill="9cc3e5" w:val="clear"/>
          </w:tcPr>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Muestra de suelo</w:t>
            </w:r>
            <w:r w:rsidDel="00000000" w:rsidR="00000000" w:rsidRPr="00000000">
              <w:rPr>
                <w:rtl w:val="0"/>
              </w:rPr>
            </w:r>
          </w:p>
        </w:tc>
        <w:tc>
          <w:tcPr>
            <w:shd w:fill="9cc3e5" w:val="clear"/>
          </w:tcPr>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w:t>
            </w:r>
            <w:r w:rsidDel="00000000" w:rsidR="00000000" w:rsidRPr="00000000">
              <w:rPr>
                <w:rtl w:val="0"/>
              </w:rPr>
            </w:r>
          </w:p>
        </w:tc>
      </w:tr>
      <w:tr>
        <w:trPr>
          <w:cantSplit w:val="0"/>
          <w:tblHeader w:val="0"/>
        </w:trPr>
        <w:tc>
          <w:tcPr>
            <w:vMerge w:val="restart"/>
            <w:shd w:fill="9cc3e5" w:val="clear"/>
          </w:tcPr>
          <w:p w:rsidR="00000000" w:rsidDel="00000000" w:rsidP="00000000" w:rsidRDefault="00000000" w:rsidRPr="00000000" w14:paraId="000000B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Franco arenoso, café</w:t>
            </w:r>
          </w:p>
        </w:tc>
        <w:tc>
          <w:tcPr/>
          <w:p w:rsidR="00000000" w:rsidDel="00000000" w:rsidP="00000000" w:rsidRDefault="00000000" w:rsidRPr="00000000" w14:paraId="000000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7</w:t>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35 06.0 W74 49 03.5</w:t>
            </w:r>
          </w:p>
        </w:tc>
        <w:tc>
          <w:tcPr/>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82364" cy="1459669"/>
                  <wp:effectExtent b="0" l="0" r="0" t="0"/>
                  <wp:docPr id="2140903218"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1182364" cy="1459669"/>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35 07.3</w:t>
            </w:r>
          </w:p>
          <w:p w:rsidR="00000000" w:rsidDel="00000000" w:rsidP="00000000" w:rsidRDefault="00000000" w:rsidRPr="00000000" w14:paraId="000000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W74 49 02.3</w:t>
            </w:r>
          </w:p>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81687" cy="1459112"/>
                  <wp:effectExtent b="0" l="0" r="0" t="0"/>
                  <wp:docPr descr="Imagen que contiene ropa, pasto, pieza, camiseta&#10;&#10;Descripción generada automáticamente" id="2140903219" name="image2.jpg"/>
                  <a:graphic>
                    <a:graphicData uri="http://schemas.openxmlformats.org/drawingml/2006/picture">
                      <pic:pic>
                        <pic:nvPicPr>
                          <pic:cNvPr descr="Imagen que contiene ropa, pasto, pieza, camiseta&#10;&#10;Descripción generada automáticamente" id="0" name="image2.jpg"/>
                          <pic:cNvPicPr preferRelativeResize="0"/>
                        </pic:nvPicPr>
                        <pic:blipFill>
                          <a:blip r:embed="rId23"/>
                          <a:srcRect b="0" l="0" r="0" t="0"/>
                          <a:stretch>
                            <a:fillRect/>
                          </a:stretch>
                        </pic:blipFill>
                        <pic:spPr>
                          <a:xfrm>
                            <a:off x="0" y="0"/>
                            <a:ext cx="1181687" cy="1459112"/>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Tipo de suelo suelto con una capa oscura entre los 20 cm a 50 cm.</w:t>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horizonte inferior color pardo rojizo por altos porcentajes de óxidos de hierro o arcillas, también presenta contenidos bajos de humedad y presencia de actividad de lombrices (punto 7) y raíces.</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encuentra en algunos puntos fragmentos de rocas como limitantes de la profundidad efectiva. </w:t>
            </w:r>
          </w:p>
        </w:tc>
      </w:tr>
      <w:tr>
        <w:trPr>
          <w:cantSplit w:val="0"/>
          <w:tblHeader w:val="0"/>
        </w:trPr>
        <w:tc>
          <w:tcPr>
            <w:vMerge w:val="continue"/>
            <w:shd w:fill="9cc3e5"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8</w:t>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35 06.8 W74 49 04.6</w:t>
            </w:r>
          </w:p>
        </w:tc>
        <w:tc>
          <w:tcPr/>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81012" cy="1458278"/>
                  <wp:effectExtent b="0" l="0" r="0" t="0"/>
                  <wp:docPr id="2140903221"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1181012" cy="1458278"/>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shd w:fill="9cc3e5"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9</w:t>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35 07.6 W74 49 03.1</w:t>
            </w:r>
          </w:p>
        </w:tc>
        <w:tc>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82363" cy="1459946"/>
                  <wp:effectExtent b="0" l="0" r="0" t="0"/>
                  <wp:docPr descr="Mapa&#10;&#10;Descripción generada automáticamente" id="2140903222" name="image6.jpg"/>
                  <a:graphic>
                    <a:graphicData uri="http://schemas.openxmlformats.org/drawingml/2006/picture">
                      <pic:pic>
                        <pic:nvPicPr>
                          <pic:cNvPr descr="Mapa&#10;&#10;Descripción generada automáticamente" id="0" name="image6.jpg"/>
                          <pic:cNvPicPr preferRelativeResize="0"/>
                        </pic:nvPicPr>
                        <pic:blipFill>
                          <a:blip r:embed="rId25"/>
                          <a:srcRect b="0" l="0" r="0" t="0"/>
                          <a:stretch>
                            <a:fillRect/>
                          </a:stretch>
                        </pic:blipFill>
                        <pic:spPr>
                          <a:xfrm>
                            <a:off x="0" y="0"/>
                            <a:ext cx="1182363" cy="1459946"/>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shd w:fill="9cc3e5"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Punto 10</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N3 35 07.3 W74 49 02.3</w:t>
            </w:r>
          </w:p>
        </w:tc>
        <w:tc>
          <w:tcPr/>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81687" cy="1459112"/>
                  <wp:effectExtent b="0" l="0" r="0" t="0"/>
                  <wp:docPr descr="Imagen que contiene ropa, pasto, pieza, camiseta&#10;&#10;Descripción generada automáticamente" id="2140903223" name="image2.jpg"/>
                  <a:graphic>
                    <a:graphicData uri="http://schemas.openxmlformats.org/drawingml/2006/picture">
                      <pic:pic>
                        <pic:nvPicPr>
                          <pic:cNvPr descr="Imagen que contiene ropa, pasto, pieza, camiseta&#10;&#10;Descripción generada automáticamente" id="0" name="image2.jpg"/>
                          <pic:cNvPicPr preferRelativeResize="0"/>
                        </pic:nvPicPr>
                        <pic:blipFill>
                          <a:blip r:embed="rId23"/>
                          <a:srcRect b="0" l="0" r="0" t="0"/>
                          <a:stretch>
                            <a:fillRect/>
                          </a:stretch>
                        </pic:blipFill>
                        <pic:spPr>
                          <a:xfrm>
                            <a:off x="0" y="0"/>
                            <a:ext cx="1181687" cy="1459112"/>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Tabla 2: </w:t>
      </w:r>
      <w:r w:rsidDel="00000000" w:rsidR="00000000" w:rsidRPr="00000000">
        <w:rPr>
          <w:rFonts w:ascii="Times New Roman" w:cs="Times New Roman" w:eastAsia="Times New Roman" w:hAnsi="Times New Roman"/>
          <w:sz w:val="20"/>
          <w:szCs w:val="20"/>
          <w:rtl w:val="0"/>
        </w:rPr>
        <w:t xml:space="preserve">Suelos encontrados en el lote 2 de la finca Santa Elena</w:t>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analizar los perfiles derivados del proceso de barrenado en los dos lotes objeto de estudio y representándolos en el mapa de diversificación de suelos de la finca Santa Elena (Figura 5), se distingue </w:t>
      </w:r>
      <w:r w:rsidDel="00000000" w:rsidR="00000000" w:rsidRPr="00000000">
        <w:rPr>
          <w:rFonts w:ascii="Times New Roman" w:cs="Times New Roman" w:eastAsia="Times New Roman" w:hAnsi="Times New Roman"/>
          <w:b w:val="1"/>
          <w:sz w:val="24"/>
          <w:szCs w:val="24"/>
          <w:rtl w:val="0"/>
        </w:rPr>
        <w:t xml:space="preserve">un único tipo de suelo</w:t>
      </w:r>
      <w:r w:rsidDel="00000000" w:rsidR="00000000" w:rsidRPr="00000000">
        <w:rPr>
          <w:rFonts w:ascii="Times New Roman" w:cs="Times New Roman" w:eastAsia="Times New Roman" w:hAnsi="Times New Roman"/>
          <w:sz w:val="24"/>
          <w:szCs w:val="24"/>
          <w:rtl w:val="0"/>
        </w:rPr>
        <w:t xml:space="preserve">. Este se caracteriza por ser un suelo suelto y profundo, exhibiendo equilibrios notables en los contenidos de coloides, tanto orgánicos como minerales. Estas particularidades descritas configuran un suelo que se encuentra en un estado joven excelente, ofreciendo múltiples beneficios propicios para el desarrollo adecuado de cualquier cultivo de raíces profundas. No obstante, es imperativo tener presente la necesidad de considerar con precisión las cantidades exactas de cada nutriente requerido para estos cultivos.</w:t>
      </w:r>
    </w:p>
    <w:p w:rsidR="00000000" w:rsidDel="00000000" w:rsidP="00000000" w:rsidRDefault="00000000" w:rsidRPr="00000000" w14:paraId="000000D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27030" cy="2953373"/>
            <wp:effectExtent b="0" l="0" r="0" t="0"/>
            <wp:docPr id="2140903224"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4227030" cy="2953373"/>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Figura 5: </w:t>
      </w:r>
      <w:r w:rsidDel="00000000" w:rsidR="00000000" w:rsidRPr="00000000">
        <w:rPr>
          <w:rFonts w:ascii="Times New Roman" w:cs="Times New Roman" w:eastAsia="Times New Roman" w:hAnsi="Times New Roman"/>
          <w:sz w:val="20"/>
          <w:szCs w:val="20"/>
          <w:rtl w:val="0"/>
        </w:rPr>
        <w:t xml:space="preserve">Mapa de diversificación de suelos de la finca Santa Elena</w:t>
      </w: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manejo de este suelo hay que tener en cuenta que en la primera capa la humedad se va a perder más rápido que en capas inferiores, por cuestiones de altas temperaturas en épocas secas, pero en épocas de altas precipitaciones unos buenos drenajes no pueden faltar, para evacuar el exceso de aguas lluvias. Para evitar la erosión y perdida de horizontes en la zona tener presente implementar una buena cobertura vegetal en compañía del cultivo principal, esto permite que las raíces de estas plantas hagan la tarea de ayudar a sostener el suelo y así generar positivamente a la conservación y salud de los suelos. </w:t>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general, los atributos mencionados por el productor concuerdan en un gran porcentaje a los resultados obtenidos por el estudio, eso quiere decir que los arduos años trabajando la tierra dan el mejor inicio para realizar un manejo adecuado al cultivo empezando por la conservación de la salud del preciado suelo y al final poder lograr una reducción de costos de manejo del cultivo contribuyendo a una mejor rentabilidad.</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Style w:val="Heading1"/>
        <w:rPr>
          <w:rFonts w:ascii="Times New Roman" w:cs="Times New Roman" w:eastAsia="Times New Roman" w:hAnsi="Times New Roman"/>
          <w:sz w:val="24"/>
          <w:szCs w:val="24"/>
        </w:rPr>
      </w:pPr>
      <w:bookmarkStart w:colFirst="0" w:colLast="0" w:name="_heading=h.2et92p0" w:id="4"/>
      <w:bookmarkEnd w:id="4"/>
      <w:r w:rsidDel="00000000" w:rsidR="00000000" w:rsidRPr="00000000">
        <w:rPr>
          <w:rFonts w:ascii="Times New Roman" w:cs="Times New Roman" w:eastAsia="Times New Roman" w:hAnsi="Times New Roman"/>
          <w:sz w:val="24"/>
          <w:szCs w:val="24"/>
          <w:rtl w:val="0"/>
        </w:rPr>
        <w:t xml:space="preserve">CONCLUSIÓN</w:t>
      </w:r>
    </w:p>
    <w:p w:rsidR="00000000" w:rsidDel="00000000" w:rsidP="00000000" w:rsidRDefault="00000000" w:rsidRPr="00000000" w14:paraId="000000F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 un ejercicio bien ejecutado, el productor realizo de forma correcta el ejercicio de la cartografía social, menciono que las muestras obtenidas del perfil de suelo producto del barrenado las iba a enviar al laboratorio para su respectivos análisis de manera propia.</w:t>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pStyle w:val="Heading1"/>
        <w:rPr>
          <w:rFonts w:ascii="Times New Roman" w:cs="Times New Roman" w:eastAsia="Times New Roman" w:hAnsi="Times New Roman"/>
          <w:sz w:val="24"/>
          <w:szCs w:val="24"/>
        </w:rPr>
      </w:pPr>
      <w:bookmarkStart w:colFirst="0" w:colLast="0" w:name="_heading=h.tyjcwt" w:id="5"/>
      <w:bookmarkEnd w:id="5"/>
      <w:r w:rsidDel="00000000" w:rsidR="00000000" w:rsidRPr="00000000">
        <w:rPr>
          <w:rFonts w:ascii="Times New Roman" w:cs="Times New Roman" w:eastAsia="Times New Roman" w:hAnsi="Times New Roman"/>
          <w:sz w:val="24"/>
          <w:szCs w:val="24"/>
          <w:rtl w:val="0"/>
        </w:rPr>
        <w:t xml:space="preserve">REFERENCIAS BIBLIOGRÁFICAS</w:t>
      </w:r>
    </w:p>
    <w:p w:rsidR="00000000" w:rsidDel="00000000" w:rsidP="00000000" w:rsidRDefault="00000000" w:rsidRPr="00000000" w14:paraId="00000108">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del Tolima, G. (2011). Secretaria de Planeación y Tic.(2014). </w:t>
      </w:r>
      <w:r w:rsidDel="00000000" w:rsidR="00000000" w:rsidRPr="00000000">
        <w:rPr>
          <w:rFonts w:ascii="Times New Roman" w:cs="Times New Roman" w:eastAsia="Times New Roman" w:hAnsi="Times New Roman"/>
          <w:b w:val="1"/>
          <w:i w:val="1"/>
          <w:color w:val="222222"/>
          <w:sz w:val="24"/>
          <w:szCs w:val="24"/>
          <w:highlight w:val="white"/>
          <w:rtl w:val="0"/>
        </w:rPr>
        <w:t xml:space="preserve">Estadísticas 2011-2014 Ibagué</w:t>
      </w:r>
      <w:r w:rsidDel="00000000" w:rsidR="00000000" w:rsidRPr="00000000">
        <w:rPr>
          <w:rFonts w:ascii="Times New Roman" w:cs="Times New Roman" w:eastAsia="Times New Roman" w:hAnsi="Times New Roman"/>
          <w:b w:val="1"/>
          <w:color w:val="222222"/>
          <w:sz w:val="24"/>
          <w:szCs w:val="24"/>
          <w:highlight w:val="white"/>
          <w:rtl w:val="0"/>
        </w:rPr>
        <w:t xml:space="preserve">.  </w:t>
      </w:r>
      <w:hyperlink r:id="rId27">
        <w:r w:rsidDel="00000000" w:rsidR="00000000" w:rsidRPr="00000000">
          <w:rPr>
            <w:rFonts w:ascii="Times New Roman" w:cs="Times New Roman" w:eastAsia="Times New Roman" w:hAnsi="Times New Roman"/>
            <w:b w:val="1"/>
            <w:color w:val="1155cc"/>
            <w:sz w:val="24"/>
            <w:szCs w:val="24"/>
            <w:highlight w:val="white"/>
            <w:u w:val="single"/>
            <w:rtl w:val="0"/>
          </w:rPr>
          <w:t xml:space="preserve">https://www.tolima.gov.co/images/tolima/cifras-y-estadisticas/Dolores.pdf</w:t>
        </w:r>
      </w:hyperlink>
      <w:r w:rsidDel="00000000" w:rsidR="00000000" w:rsidRPr="00000000">
        <w:rPr>
          <w:rFonts w:ascii="Times New Roman" w:cs="Times New Roman" w:eastAsia="Times New Roman" w:hAnsi="Times New Roman"/>
          <w:b w:val="1"/>
          <w:color w:val="222222"/>
          <w:sz w:val="24"/>
          <w:szCs w:val="24"/>
          <w:highlight w:val="white"/>
          <w:rtl w:val="0"/>
        </w:rPr>
        <w:t xml:space="preserve">.</w:t>
      </w:r>
    </w:p>
    <w:p w:rsidR="00000000" w:rsidDel="00000000" w:rsidP="00000000" w:rsidRDefault="00000000" w:rsidRPr="00000000" w14:paraId="000001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Colombiano, S. G. (2018). De la Geología al Café.</w:t>
      </w:r>
      <w:r w:rsidDel="00000000" w:rsidR="00000000" w:rsidRPr="00000000">
        <w:rPr>
          <w:rFonts w:ascii="Times New Roman" w:cs="Times New Roman" w:eastAsia="Times New Roman" w:hAnsi="Times New Roman"/>
          <w:b w:val="1"/>
          <w:color w:val="222222"/>
          <w:sz w:val="24"/>
          <w:szCs w:val="24"/>
          <w:rtl w:val="0"/>
        </w:rPr>
        <w:t xml:space="preserve"> </w:t>
      </w:r>
      <w:hyperlink r:id="rId28">
        <w:r w:rsidDel="00000000" w:rsidR="00000000" w:rsidRPr="00000000">
          <w:rPr>
            <w:rFonts w:ascii="Times New Roman" w:cs="Times New Roman" w:eastAsia="Times New Roman" w:hAnsi="Times New Roman"/>
            <w:b w:val="1"/>
            <w:color w:val="0563c1"/>
            <w:sz w:val="24"/>
            <w:szCs w:val="24"/>
            <w:highlight w:val="white"/>
            <w:u w:val="single"/>
            <w:rtl w:val="0"/>
          </w:rPr>
          <w:t xml:space="preserve">https://biblioteca.cenicafe.org/handle/10778/4256</w:t>
        </w:r>
      </w:hyperlink>
      <w:r w:rsidDel="00000000" w:rsidR="00000000" w:rsidRPr="00000000">
        <w:rPr>
          <w:rFonts w:ascii="Times New Roman" w:cs="Times New Roman" w:eastAsia="Times New Roman" w:hAnsi="Times New Roman"/>
          <w:b w:val="1"/>
          <w:color w:val="222222"/>
          <w:sz w:val="24"/>
          <w:szCs w:val="24"/>
          <w:highlight w:val="white"/>
          <w:rtl w:val="0"/>
        </w:rPr>
        <w:t xml:space="preserve">. </w:t>
      </w:r>
    </w:p>
    <w:p w:rsidR="00000000" w:rsidDel="00000000" w:rsidP="00000000" w:rsidRDefault="00000000" w:rsidRPr="00000000" w14:paraId="0000010C">
      <w:pPr>
        <w:spacing w:after="0" w:line="48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10D">
      <w:pPr>
        <w:spacing w:after="0" w:line="240" w:lineRule="auto"/>
        <w:rPr>
          <w:rFonts w:ascii="Arial" w:cs="Arial" w:eastAsia="Arial" w:hAnsi="Arial"/>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Instituto Geográfico Agustín Codazzi. (2023). </w:t>
      </w:r>
      <w:r w:rsidDel="00000000" w:rsidR="00000000" w:rsidRPr="00000000">
        <w:rPr>
          <w:rFonts w:ascii="Times New Roman" w:cs="Times New Roman" w:eastAsia="Times New Roman" w:hAnsi="Times New Roman"/>
          <w:b w:val="1"/>
          <w:i w:val="1"/>
          <w:color w:val="222222"/>
          <w:sz w:val="24"/>
          <w:szCs w:val="24"/>
          <w:highlight w:val="white"/>
          <w:rtl w:val="0"/>
        </w:rPr>
        <w:t xml:space="preserve">Laboratorio Nacional de Suelos</w:t>
      </w:r>
      <w:r w:rsidDel="00000000" w:rsidR="00000000" w:rsidRPr="00000000">
        <w:rPr>
          <w:rFonts w:ascii="Times New Roman" w:cs="Times New Roman" w:eastAsia="Times New Roman" w:hAnsi="Times New Roman"/>
          <w:b w:val="1"/>
          <w:color w:val="222222"/>
          <w:sz w:val="24"/>
          <w:szCs w:val="24"/>
          <w:highlight w:val="white"/>
          <w:rtl w:val="0"/>
        </w:rPr>
        <w:t xml:space="preserve">.</w:t>
      </w:r>
      <w:r w:rsidDel="00000000" w:rsidR="00000000" w:rsidRPr="00000000">
        <w:rPr>
          <w:rFonts w:ascii="Times New Roman" w:cs="Times New Roman" w:eastAsia="Times New Roman" w:hAnsi="Times New Roman"/>
          <w:b w:val="1"/>
          <w:color w:val="222222"/>
          <w:sz w:val="24"/>
          <w:szCs w:val="24"/>
          <w:rtl w:val="0"/>
        </w:rPr>
        <w:t xml:space="preserve"> </w:t>
      </w:r>
      <w:hyperlink r:id="rId29">
        <w:r w:rsidDel="00000000" w:rsidR="00000000" w:rsidRPr="00000000">
          <w:rPr>
            <w:rFonts w:ascii="Times New Roman" w:cs="Times New Roman" w:eastAsia="Times New Roman" w:hAnsi="Times New Roman"/>
            <w:b w:val="1"/>
            <w:color w:val="0563c1"/>
            <w:sz w:val="24"/>
            <w:szCs w:val="24"/>
            <w:highlight w:val="white"/>
            <w:u w:val="single"/>
            <w:rtl w:val="0"/>
          </w:rPr>
          <w:t xml:space="preserve">https://www.igac.gov.co/es/contenido/areas-estrategicas/agrologia/laboratorio-nacional-de-suelos</w:t>
        </w:r>
      </w:hyperlink>
      <w:r w:rsidDel="00000000" w:rsidR="00000000" w:rsidRPr="00000000">
        <w:rPr>
          <w:rFonts w:ascii="Times New Roman" w:cs="Times New Roman" w:eastAsia="Times New Roman" w:hAnsi="Times New Roman"/>
          <w:b w:val="1"/>
          <w:color w:val="222222"/>
          <w:sz w:val="24"/>
          <w:szCs w:val="24"/>
          <w:highlight w:val="white"/>
          <w:rtl w:val="0"/>
        </w:rPr>
        <w:t xml:space="preserve">.</w:t>
      </w:r>
      <w:r w:rsidDel="00000000" w:rsidR="00000000" w:rsidRPr="00000000">
        <w:rPr>
          <w:rtl w:val="0"/>
        </w:rPr>
      </w:r>
    </w:p>
    <w:sectPr>
      <w:footerReference r:id="rId30"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character" w:styleId="Hipervnculo">
    <w:name w:val="Hyperlink"/>
    <w:basedOn w:val="Fuentedeprrafopredeter"/>
    <w:uiPriority w:val="99"/>
    <w:unhideWhenUsed w:val="1"/>
    <w:rsid w:val="001223D6"/>
    <w:rPr>
      <w:color w:val="0563c1" w:themeColor="hyperlink"/>
      <w:u w:val="single"/>
    </w:rPr>
  </w:style>
  <w:style w:type="character" w:styleId="Mencinsinresolver">
    <w:name w:val="Unresolved Mention"/>
    <w:basedOn w:val="Fuentedeprrafopredeter"/>
    <w:uiPriority w:val="99"/>
    <w:semiHidden w:val="1"/>
    <w:unhideWhenUsed w:val="1"/>
    <w:rsid w:val="001223D6"/>
    <w:rPr>
      <w:color w:val="605e5c"/>
      <w:shd w:color="auto" w:fill="e1dfdd" w:val="clear"/>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Tablaconcuadrcula">
    <w:name w:val="Table Grid"/>
    <w:basedOn w:val="Tablaweb1"/>
    <w:uiPriority w:val="39"/>
    <w:rsid w:val="00DE30E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cPr>
      <w:shd w:color="auto" w:fill="auto" w:val="clear"/>
    </w:tcPr>
    <w:tblStylePr w:type="firstRow">
      <w:rPr>
        <w:color w:val="auto"/>
      </w:rPr>
      <w:tblPr/>
      <w:tcPr>
        <w:tcBorders>
          <w:tl2br w:color="auto" w:space="0" w:sz="0" w:val="none"/>
          <w:tr2bl w:color="auto" w:space="0" w:sz="0" w:val="none"/>
        </w:tcBorders>
      </w:tcPr>
    </w:tblStylePr>
  </w:style>
  <w:style w:type="paragraph" w:styleId="Prrafodelista">
    <w:name w:val="List Paragraph"/>
    <w:basedOn w:val="Normal"/>
    <w:uiPriority w:val="34"/>
    <w:qFormat w:val="1"/>
    <w:rsid w:val="00B5663A"/>
    <w:pPr>
      <w:ind w:left="720"/>
      <w:contextualSpacing w:val="1"/>
    </w:pPr>
  </w:style>
  <w:style w:type="paragraph" w:styleId="TtuloTDC">
    <w:name w:val="TOC Heading"/>
    <w:basedOn w:val="Ttulo1"/>
    <w:next w:val="Normal"/>
    <w:uiPriority w:val="39"/>
    <w:unhideWhenUsed w:val="1"/>
    <w:qFormat w:val="1"/>
    <w:rsid w:val="002F69F5"/>
    <w:pPr>
      <w:spacing w:after="0" w:before="240"/>
      <w:outlineLvl w:val="9"/>
    </w:pPr>
    <w:rPr>
      <w:rFonts w:asciiTheme="majorHAnsi" w:cstheme="majorBidi" w:eastAsiaTheme="majorEastAsia" w:hAnsiTheme="majorHAnsi"/>
      <w:b w:val="0"/>
      <w:color w:val="2f5496" w:themeColor="accent1" w:themeShade="0000BF"/>
      <w:sz w:val="32"/>
      <w:szCs w:val="32"/>
    </w:rPr>
  </w:style>
  <w:style w:type="paragraph" w:styleId="TDC1">
    <w:name w:val="toc 1"/>
    <w:basedOn w:val="Normal"/>
    <w:next w:val="Normal"/>
    <w:autoRedefine w:val="1"/>
    <w:uiPriority w:val="39"/>
    <w:unhideWhenUsed w:val="1"/>
    <w:rsid w:val="00EB25B0"/>
    <w:pPr>
      <w:spacing w:after="100"/>
    </w:pPr>
  </w:style>
  <w:style w:type="character" w:styleId="Ttulo1Car" w:customStyle="1">
    <w:name w:val="Título 1 Car"/>
    <w:basedOn w:val="Fuentedeprrafopredeter"/>
    <w:link w:val="Ttulo1"/>
    <w:uiPriority w:val="9"/>
    <w:rsid w:val="00DE3449"/>
    <w:rPr>
      <w:b w:val="1"/>
      <w:sz w:val="48"/>
      <w:szCs w:val="48"/>
    </w:rPr>
  </w:style>
  <w:style w:type="table" w:styleId="Tablaweb1">
    <w:name w:val="Table Web 1"/>
    <w:basedOn w:val="Tablanormal"/>
    <w:uiPriority w:val="99"/>
    <w:semiHidden w:val="1"/>
    <w:unhideWhenUsed w:val="1"/>
    <w:rsid w:val="00DB0A71"/>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auto" w:val="clear"/>
    </w:tcPr>
    <w:tblStylePr w:type="firstRow">
      <w:rPr>
        <w:color w:val="000000"/>
      </w:r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auto" w:val="clear"/>
    </w:tcPr>
    <w:tblStylePr w:type="firstRow">
      <w:rPr>
        <w:color w:val="000000"/>
      </w:r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3.jpg"/><Relationship Id="rId21" Type="http://schemas.openxmlformats.org/officeDocument/2006/relationships/image" Target="media/image10.jpg"/><Relationship Id="rId24" Type="http://schemas.openxmlformats.org/officeDocument/2006/relationships/image" Target="media/image8.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13.png"/><Relationship Id="rId25" Type="http://schemas.openxmlformats.org/officeDocument/2006/relationships/image" Target="media/image6.jpg"/><Relationship Id="rId28" Type="http://schemas.openxmlformats.org/officeDocument/2006/relationships/hyperlink" Target="https://biblioteca.cenicafe.org/handle/10778/4256" TargetMode="External"/><Relationship Id="rId27" Type="http://schemas.openxmlformats.org/officeDocument/2006/relationships/hyperlink" Target="https://www.tolima.gov.co/images/tolima/cifras-y-estadisticas/Dolores.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igac.gov.co/es/contenido/areas-estrategicas/agrologia/laboratorio-nacional-de-suelos" TargetMode="External"/><Relationship Id="rId7" Type="http://schemas.openxmlformats.org/officeDocument/2006/relationships/image" Target="media/image9.png"/><Relationship Id="rId8" Type="http://schemas.openxmlformats.org/officeDocument/2006/relationships/image" Target="media/image16.png"/><Relationship Id="rId30" Type="http://schemas.openxmlformats.org/officeDocument/2006/relationships/footer" Target="footer1.xml"/><Relationship Id="rId11" Type="http://schemas.openxmlformats.org/officeDocument/2006/relationships/image" Target="media/image18.jpg"/><Relationship Id="rId10" Type="http://schemas.openxmlformats.org/officeDocument/2006/relationships/image" Target="media/image19.jpg"/><Relationship Id="rId13" Type="http://schemas.openxmlformats.org/officeDocument/2006/relationships/image" Target="media/image5.png"/><Relationship Id="rId12" Type="http://schemas.openxmlformats.org/officeDocument/2006/relationships/image" Target="media/image17.png"/><Relationship Id="rId15" Type="http://schemas.openxmlformats.org/officeDocument/2006/relationships/image" Target="media/image14.jpg"/><Relationship Id="rId14" Type="http://schemas.openxmlformats.org/officeDocument/2006/relationships/image" Target="media/image11.jpg"/><Relationship Id="rId17" Type="http://schemas.openxmlformats.org/officeDocument/2006/relationships/image" Target="media/image15.jpg"/><Relationship Id="rId16" Type="http://schemas.openxmlformats.org/officeDocument/2006/relationships/image" Target="media/image4.jpg"/><Relationship Id="rId19" Type="http://schemas.openxmlformats.org/officeDocument/2006/relationships/image" Target="media/image12.jpg"/><Relationship Id="rId18"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3TaZD9BAYQFQz3A5JMLDFMxpFA==">CgMxLjAyCGguZ2pkZ3hzMgloLjMwajB6bGwyCWguMWZvYjl0ZTIJaC4zem55c2g3MgloLjJldDkycDAyCGgudHlqY3d0OAByITE5dVZLQk1sUzZmc2xQVVVuRHNBSUNUbDlHUXRwN2tQbQ==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2023-09-24T14:09:00Z</dcterms:created>
  <dc:creator>Lords Villa</dc:creator>
</cp:coreProperties>
</file>